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Default="00916FF8">
      <w:pPr>
        <w:jc w:val="right"/>
        <w:rPr>
          <w:rFonts w:cs="Miriam"/>
          <w:b/>
          <w:bCs/>
          <w:sz w:val="16"/>
          <w:szCs w:val="16"/>
          <w:u w:val="single"/>
          <w:rtl/>
        </w:rPr>
      </w:pPr>
      <w:bookmarkStart w:id="0" w:name="_GoBack"/>
      <w:bookmarkEnd w:id="0"/>
    </w:p>
    <w:p w:rsidR="00333337" w:rsidRPr="00377102" w:rsidRDefault="00333337">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036227" w:rsidTr="0039709B">
        <w:tc>
          <w:tcPr>
            <w:tcW w:w="7848" w:type="dxa"/>
          </w:tcPr>
          <w:p w:rsidR="00916FF8" w:rsidRPr="00624A42" w:rsidRDefault="0000601B" w:rsidP="004C7868">
            <w:pPr>
              <w:pStyle w:val="FileNumber0"/>
              <w:rPr>
                <w:sz w:val="28"/>
                <w:u w:val="single"/>
                <w:rtl/>
              </w:rPr>
            </w:pPr>
            <w:r>
              <w:rPr>
                <w:u w:val="single"/>
                <w:rtl/>
              </w:rPr>
              <w:t>בבית המשפט העליון בשבתו כבית משפט גבוה לצדק</w:t>
            </w:r>
          </w:p>
        </w:tc>
      </w:tr>
    </w:tbl>
    <w:p w:rsidR="00916FF8" w:rsidRDefault="00916FF8">
      <w:pPr>
        <w:jc w:val="right"/>
        <w:rPr>
          <w:rFonts w:cs="Miriam"/>
          <w:b/>
          <w:bCs/>
          <w:u w:val="single"/>
          <w:rtl/>
        </w:rPr>
      </w:pPr>
    </w:p>
    <w:p w:rsidR="00333337" w:rsidRDefault="00333337">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00601B">
            <w:pPr>
              <w:pStyle w:val="FileNumber"/>
              <w:rPr>
                <w:sz w:val="28"/>
                <w:szCs w:val="28"/>
              </w:rPr>
            </w:pPr>
            <w:bookmarkStart w:id="1" w:name="casename_body"/>
            <w:r>
              <w:rPr>
                <w:sz w:val="28"/>
                <w:szCs w:val="28"/>
                <w:rtl/>
              </w:rPr>
              <w:t>בג"ץ  8351/23</w:t>
            </w:r>
          </w:p>
        </w:tc>
      </w:tr>
      <w:tr w:rsidR="0000601B" w:rsidTr="0039709B">
        <w:trPr>
          <w:trHeight w:val="342"/>
        </w:trPr>
        <w:tc>
          <w:tcPr>
            <w:tcW w:w="9828" w:type="dxa"/>
          </w:tcPr>
          <w:p w:rsidR="0000601B" w:rsidRPr="00810894" w:rsidRDefault="0000601B">
            <w:pPr>
              <w:pStyle w:val="FileNumber"/>
              <w:rPr>
                <w:sz w:val="28"/>
                <w:szCs w:val="28"/>
              </w:rPr>
            </w:pPr>
            <w:r>
              <w:rPr>
                <w:sz w:val="28"/>
                <w:szCs w:val="28"/>
                <w:rtl/>
              </w:rPr>
              <w:t>בג"ץ  8352/23</w:t>
            </w:r>
          </w:p>
        </w:tc>
      </w:tr>
      <w:bookmarkEnd w:id="1"/>
    </w:tbl>
    <w:p w:rsidR="00916FF8" w:rsidRDefault="00916FF8">
      <w:pPr>
        <w:jc w:val="right"/>
        <w:rPr>
          <w:rFonts w:cs="Miriam"/>
          <w:b/>
          <w:bCs/>
          <w:u w:val="single"/>
          <w:rtl/>
        </w:rPr>
      </w:pPr>
    </w:p>
    <w:p w:rsidR="00333337" w:rsidRDefault="00333337">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00601B">
            <w:pPr>
              <w:pStyle w:val="BodyRuller"/>
            </w:pPr>
            <w:r>
              <w:rPr>
                <w:rtl/>
              </w:rPr>
              <w:t>כבוד השופט ד' מינץ</w:t>
            </w:r>
          </w:p>
        </w:tc>
      </w:tr>
      <w:tr w:rsidR="0000601B" w:rsidTr="00EC23AC">
        <w:trPr>
          <w:trHeight w:val="287"/>
        </w:trPr>
        <w:tc>
          <w:tcPr>
            <w:tcW w:w="3261" w:type="dxa"/>
          </w:tcPr>
          <w:p w:rsidR="0000601B" w:rsidRDefault="0000601B">
            <w:pPr>
              <w:pStyle w:val="BodyRuller"/>
              <w:rPr>
                <w:rtl/>
              </w:rPr>
            </w:pPr>
          </w:p>
        </w:tc>
        <w:tc>
          <w:tcPr>
            <w:tcW w:w="5239" w:type="dxa"/>
          </w:tcPr>
          <w:p w:rsidR="0000601B" w:rsidRDefault="0000601B">
            <w:pPr>
              <w:pStyle w:val="BodyRuller"/>
              <w:rPr>
                <w:rtl/>
              </w:rPr>
            </w:pPr>
            <w:r>
              <w:rPr>
                <w:rtl/>
              </w:rPr>
              <w:t>כבוד השופט א' שטיין</w:t>
            </w:r>
          </w:p>
        </w:tc>
      </w:tr>
      <w:tr w:rsidR="0000601B" w:rsidTr="00EC23AC">
        <w:trPr>
          <w:trHeight w:val="287"/>
        </w:trPr>
        <w:tc>
          <w:tcPr>
            <w:tcW w:w="3261" w:type="dxa"/>
          </w:tcPr>
          <w:p w:rsidR="0000601B" w:rsidRDefault="0000601B">
            <w:pPr>
              <w:pStyle w:val="BodyRuller"/>
              <w:rPr>
                <w:rtl/>
              </w:rPr>
            </w:pPr>
          </w:p>
        </w:tc>
        <w:tc>
          <w:tcPr>
            <w:tcW w:w="5239" w:type="dxa"/>
          </w:tcPr>
          <w:p w:rsidR="0000601B" w:rsidRDefault="0000601B">
            <w:pPr>
              <w:pStyle w:val="BodyRuller"/>
              <w:rPr>
                <w:rtl/>
              </w:rPr>
            </w:pPr>
            <w:r>
              <w:rPr>
                <w:rtl/>
              </w:rPr>
              <w:t>כבוד השופט י' כשר</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rsidTr="00DD6306">
        <w:trPr>
          <w:trHeight w:val="287"/>
        </w:trPr>
        <w:tc>
          <w:tcPr>
            <w:tcW w:w="3261" w:type="dxa"/>
          </w:tcPr>
          <w:p w:rsidR="00D00CB7" w:rsidRPr="00E75223" w:rsidRDefault="0000601B" w:rsidP="00DD6306">
            <w:pPr>
              <w:pStyle w:val="BodyRuller"/>
              <w:rPr>
                <w:rFonts w:ascii="David" w:hAnsi="David"/>
              </w:rPr>
            </w:pPr>
            <w:r>
              <w:rPr>
                <w:rFonts w:ascii="David" w:hAnsi="David"/>
                <w:rtl/>
              </w:rPr>
              <w:t>העותרים</w:t>
            </w:r>
            <w:r w:rsidR="006B2DA7">
              <w:rPr>
                <w:rFonts w:ascii="David" w:hAnsi="David" w:hint="cs"/>
                <w:rtl/>
              </w:rPr>
              <w:t xml:space="preserve"> בבג"ץ 8351/23</w:t>
            </w:r>
            <w:r>
              <w:rPr>
                <w:rFonts w:ascii="David" w:hAnsi="David"/>
                <w:rtl/>
              </w:rPr>
              <w:t>:</w:t>
            </w:r>
          </w:p>
        </w:tc>
        <w:tc>
          <w:tcPr>
            <w:tcW w:w="5239" w:type="dxa"/>
          </w:tcPr>
          <w:p w:rsidR="00D00CB7" w:rsidRDefault="0000601B" w:rsidP="006B2DA7">
            <w:pPr>
              <w:pStyle w:val="BodyRuller"/>
            </w:pPr>
            <w:r>
              <w:rPr>
                <w:rtl/>
              </w:rPr>
              <w:t xml:space="preserve">1. בחרנו בחיים </w:t>
            </w:r>
            <w:r w:rsidR="006B2DA7">
              <w:rPr>
                <w:rtl/>
              </w:rPr>
              <w:t>–</w:t>
            </w:r>
            <w:r>
              <w:rPr>
                <w:rtl/>
              </w:rPr>
              <w:t xml:space="preserve"> משפחות שכולות ונפגעי פעולות איבה</w:t>
            </w:r>
          </w:p>
        </w:tc>
      </w:tr>
      <w:tr w:rsidR="0000601B" w:rsidTr="00DD6306">
        <w:trPr>
          <w:trHeight w:val="287"/>
        </w:trPr>
        <w:tc>
          <w:tcPr>
            <w:tcW w:w="3261" w:type="dxa"/>
          </w:tcPr>
          <w:p w:rsidR="0000601B" w:rsidRDefault="0000601B" w:rsidP="00DD6306">
            <w:pPr>
              <w:pStyle w:val="BodyRuller"/>
              <w:rPr>
                <w:rFonts w:ascii="David" w:hAnsi="David"/>
                <w:rtl/>
              </w:rPr>
            </w:pPr>
          </w:p>
        </w:tc>
        <w:tc>
          <w:tcPr>
            <w:tcW w:w="5239" w:type="dxa"/>
          </w:tcPr>
          <w:p w:rsidR="0000601B" w:rsidRDefault="0000601B" w:rsidP="00DD6306">
            <w:pPr>
              <w:pStyle w:val="BodyRuller"/>
              <w:rPr>
                <w:rtl/>
              </w:rPr>
            </w:pPr>
            <w:r>
              <w:rPr>
                <w:rtl/>
              </w:rPr>
              <w:t>2. הרצל חג'אג'</w:t>
            </w:r>
          </w:p>
        </w:tc>
      </w:tr>
      <w:tr w:rsidR="0000601B" w:rsidTr="00DD6306">
        <w:trPr>
          <w:trHeight w:val="287"/>
        </w:trPr>
        <w:tc>
          <w:tcPr>
            <w:tcW w:w="3261" w:type="dxa"/>
          </w:tcPr>
          <w:p w:rsidR="0000601B" w:rsidRDefault="0000601B" w:rsidP="00DD6306">
            <w:pPr>
              <w:pStyle w:val="BodyRuller"/>
              <w:rPr>
                <w:rFonts w:ascii="David" w:hAnsi="David"/>
                <w:rtl/>
              </w:rPr>
            </w:pPr>
          </w:p>
        </w:tc>
        <w:tc>
          <w:tcPr>
            <w:tcW w:w="5239" w:type="dxa"/>
          </w:tcPr>
          <w:p w:rsidR="0000601B" w:rsidRDefault="0000601B" w:rsidP="00DD6306">
            <w:pPr>
              <w:pStyle w:val="BodyRuller"/>
              <w:rPr>
                <w:rtl/>
              </w:rPr>
            </w:pPr>
            <w:r>
              <w:rPr>
                <w:rtl/>
              </w:rPr>
              <w:t>3. מירב חג'אג'</w:t>
            </w:r>
          </w:p>
        </w:tc>
      </w:tr>
      <w:tr w:rsidR="0000601B" w:rsidTr="00DD6306">
        <w:trPr>
          <w:trHeight w:val="287"/>
        </w:trPr>
        <w:tc>
          <w:tcPr>
            <w:tcW w:w="3261" w:type="dxa"/>
          </w:tcPr>
          <w:p w:rsidR="0000601B" w:rsidRDefault="0000601B" w:rsidP="00DD6306">
            <w:pPr>
              <w:pStyle w:val="BodyRuller"/>
              <w:rPr>
                <w:rFonts w:ascii="David" w:hAnsi="David"/>
                <w:rtl/>
              </w:rPr>
            </w:pPr>
          </w:p>
        </w:tc>
        <w:tc>
          <w:tcPr>
            <w:tcW w:w="5239" w:type="dxa"/>
          </w:tcPr>
          <w:p w:rsidR="0000601B" w:rsidRDefault="0000601B" w:rsidP="00DD6306">
            <w:pPr>
              <w:pStyle w:val="BodyRuller"/>
              <w:rPr>
                <w:rtl/>
              </w:rPr>
            </w:pPr>
            <w:r>
              <w:rPr>
                <w:rtl/>
              </w:rPr>
              <w:t xml:space="preserve">4. אליהו </w:t>
            </w:r>
            <w:proofErr w:type="spellStart"/>
            <w:r>
              <w:rPr>
                <w:rtl/>
              </w:rPr>
              <w:t>ליבמן</w:t>
            </w:r>
            <w:proofErr w:type="spellEnd"/>
          </w:p>
        </w:tc>
      </w:tr>
    </w:tbl>
    <w:p w:rsidR="00D00CB7" w:rsidRDefault="00D00CB7">
      <w:pPr>
        <w:pStyle w:val="Ruller3"/>
        <w:rPr>
          <w:rtl/>
        </w:rPr>
      </w:pPr>
    </w:p>
    <w:tbl>
      <w:tblPr>
        <w:bidiVisual/>
        <w:tblW w:w="8364" w:type="dxa"/>
        <w:tblLayout w:type="fixed"/>
        <w:tblLook w:val="0000" w:firstRow="0" w:lastRow="0" w:firstColumn="0" w:lastColumn="0" w:noHBand="0" w:noVBand="0"/>
      </w:tblPr>
      <w:tblGrid>
        <w:gridCol w:w="3210"/>
        <w:gridCol w:w="5154"/>
      </w:tblGrid>
      <w:tr w:rsidR="006B2DA7" w:rsidTr="00AA7D38">
        <w:trPr>
          <w:trHeight w:val="287"/>
        </w:trPr>
        <w:tc>
          <w:tcPr>
            <w:tcW w:w="3261" w:type="dxa"/>
          </w:tcPr>
          <w:p w:rsidR="006B2DA7" w:rsidRPr="00E75223" w:rsidRDefault="006B2DA7" w:rsidP="006B2DA7">
            <w:pPr>
              <w:pStyle w:val="BodyRuller"/>
              <w:rPr>
                <w:rFonts w:ascii="David" w:hAnsi="David"/>
              </w:rPr>
            </w:pPr>
            <w:r>
              <w:rPr>
                <w:rFonts w:ascii="David" w:hAnsi="David"/>
                <w:rtl/>
              </w:rPr>
              <w:t>העותרים</w:t>
            </w:r>
            <w:r>
              <w:rPr>
                <w:rFonts w:ascii="David" w:hAnsi="David" w:hint="cs"/>
                <w:rtl/>
              </w:rPr>
              <w:t xml:space="preserve"> בבג"ץ 8352/23</w:t>
            </w:r>
            <w:r>
              <w:rPr>
                <w:rFonts w:ascii="David" w:hAnsi="David"/>
                <w:rtl/>
              </w:rPr>
              <w:t>:</w:t>
            </w:r>
          </w:p>
        </w:tc>
        <w:tc>
          <w:tcPr>
            <w:tcW w:w="5239" w:type="dxa"/>
          </w:tcPr>
          <w:p w:rsidR="006B2DA7" w:rsidRDefault="006B2DA7" w:rsidP="00AA7D38">
            <w:pPr>
              <w:pStyle w:val="BodyRuller"/>
            </w:pPr>
            <w:r>
              <w:rPr>
                <w:rtl/>
              </w:rPr>
              <w:t>1.</w:t>
            </w:r>
            <w:r>
              <w:rPr>
                <w:rFonts w:hint="cs"/>
                <w:rtl/>
              </w:rPr>
              <w:t xml:space="preserve"> מוריה כהן</w:t>
            </w:r>
          </w:p>
        </w:tc>
      </w:tr>
      <w:tr w:rsidR="006B2DA7" w:rsidTr="00AA7D38">
        <w:trPr>
          <w:trHeight w:val="287"/>
        </w:trPr>
        <w:tc>
          <w:tcPr>
            <w:tcW w:w="3261" w:type="dxa"/>
          </w:tcPr>
          <w:p w:rsidR="006B2DA7" w:rsidRDefault="006B2DA7" w:rsidP="00AA7D38">
            <w:pPr>
              <w:pStyle w:val="BodyRuller"/>
              <w:rPr>
                <w:rFonts w:ascii="David" w:hAnsi="David"/>
                <w:rtl/>
              </w:rPr>
            </w:pPr>
          </w:p>
        </w:tc>
        <w:tc>
          <w:tcPr>
            <w:tcW w:w="5239" w:type="dxa"/>
          </w:tcPr>
          <w:p w:rsidR="006B2DA7" w:rsidRDefault="006B2DA7" w:rsidP="00AA7D38">
            <w:pPr>
              <w:pStyle w:val="BodyRuller"/>
              <w:rPr>
                <w:rtl/>
              </w:rPr>
            </w:pPr>
            <w:r>
              <w:rPr>
                <w:rtl/>
              </w:rPr>
              <w:t xml:space="preserve">2. </w:t>
            </w:r>
            <w:r>
              <w:rPr>
                <w:rFonts w:hint="cs"/>
                <w:rtl/>
              </w:rPr>
              <w:t>אור זאב ויינר סייר</w:t>
            </w:r>
          </w:p>
        </w:tc>
      </w:tr>
      <w:tr w:rsidR="006B2DA7" w:rsidTr="00AA7D38">
        <w:trPr>
          <w:trHeight w:val="287"/>
        </w:trPr>
        <w:tc>
          <w:tcPr>
            <w:tcW w:w="3261" w:type="dxa"/>
          </w:tcPr>
          <w:p w:rsidR="006B2DA7" w:rsidRDefault="006B2DA7" w:rsidP="00AA7D38">
            <w:pPr>
              <w:pStyle w:val="BodyRuller"/>
              <w:rPr>
                <w:rFonts w:ascii="David" w:hAnsi="David"/>
                <w:rtl/>
              </w:rPr>
            </w:pPr>
          </w:p>
        </w:tc>
        <w:tc>
          <w:tcPr>
            <w:tcW w:w="5239" w:type="dxa"/>
          </w:tcPr>
          <w:p w:rsidR="006B2DA7" w:rsidRDefault="006B2DA7" w:rsidP="00AA7D38">
            <w:pPr>
              <w:pStyle w:val="BodyRuller"/>
              <w:rPr>
                <w:rtl/>
              </w:rPr>
            </w:pPr>
            <w:r>
              <w:rPr>
                <w:rtl/>
              </w:rPr>
              <w:t xml:space="preserve">3. </w:t>
            </w:r>
            <w:r>
              <w:rPr>
                <w:rFonts w:hint="cs"/>
                <w:rtl/>
              </w:rPr>
              <w:t xml:space="preserve">רועי </w:t>
            </w:r>
            <w:proofErr w:type="spellStart"/>
            <w:r>
              <w:rPr>
                <w:rFonts w:hint="cs"/>
                <w:rtl/>
              </w:rPr>
              <w:t>זאגא</w:t>
            </w:r>
            <w:proofErr w:type="spellEnd"/>
          </w:p>
        </w:tc>
      </w:tr>
      <w:tr w:rsidR="006B2DA7" w:rsidTr="00AA7D38">
        <w:trPr>
          <w:trHeight w:val="287"/>
        </w:trPr>
        <w:tc>
          <w:tcPr>
            <w:tcW w:w="3261" w:type="dxa"/>
          </w:tcPr>
          <w:p w:rsidR="006B2DA7" w:rsidRDefault="006B2DA7" w:rsidP="00AA7D38">
            <w:pPr>
              <w:pStyle w:val="BodyRuller"/>
              <w:rPr>
                <w:rFonts w:ascii="David" w:hAnsi="David"/>
                <w:rtl/>
              </w:rPr>
            </w:pPr>
          </w:p>
        </w:tc>
        <w:tc>
          <w:tcPr>
            <w:tcW w:w="5239" w:type="dxa"/>
          </w:tcPr>
          <w:p w:rsidR="006B2DA7" w:rsidRDefault="006B2DA7" w:rsidP="00AA7D38">
            <w:pPr>
              <w:pStyle w:val="BodyRuller"/>
              <w:rPr>
                <w:rtl/>
              </w:rPr>
            </w:pPr>
            <w:r>
              <w:rPr>
                <w:rtl/>
              </w:rPr>
              <w:t xml:space="preserve">4. </w:t>
            </w:r>
            <w:r>
              <w:rPr>
                <w:rFonts w:hint="cs"/>
                <w:rtl/>
              </w:rPr>
              <w:t>יעקב היימן</w:t>
            </w:r>
          </w:p>
          <w:p w:rsidR="006B2DA7" w:rsidRDefault="006B2DA7" w:rsidP="00AA7D38">
            <w:pPr>
              <w:pStyle w:val="BodyRuller"/>
              <w:rPr>
                <w:rtl/>
              </w:rPr>
            </w:pPr>
            <w:r>
              <w:rPr>
                <w:rFonts w:hint="cs"/>
                <w:rtl/>
              </w:rPr>
              <w:t xml:space="preserve">5. </w:t>
            </w:r>
            <w:proofErr w:type="spellStart"/>
            <w:r>
              <w:rPr>
                <w:rFonts w:hint="cs"/>
                <w:rtl/>
              </w:rPr>
              <w:t>אליסף</w:t>
            </w:r>
            <w:proofErr w:type="spellEnd"/>
            <w:r>
              <w:rPr>
                <w:rFonts w:hint="cs"/>
                <w:rtl/>
              </w:rPr>
              <w:t xml:space="preserve"> אופן</w:t>
            </w:r>
          </w:p>
          <w:p w:rsidR="006B2DA7" w:rsidRDefault="006B2DA7" w:rsidP="00AA7D38">
            <w:pPr>
              <w:pStyle w:val="BodyRuller"/>
              <w:rPr>
                <w:rtl/>
              </w:rPr>
            </w:pPr>
            <w:r>
              <w:rPr>
                <w:rFonts w:hint="cs"/>
                <w:rtl/>
              </w:rPr>
              <w:t>6. אריה יצחק קינג, סגן ראש עיריית ירושלים</w:t>
            </w:r>
          </w:p>
          <w:p w:rsidR="006B2DA7" w:rsidRDefault="006B2DA7" w:rsidP="00AA7D38">
            <w:pPr>
              <w:pStyle w:val="BodyRuller"/>
              <w:rPr>
                <w:rtl/>
              </w:rPr>
            </w:pPr>
            <w:r>
              <w:rPr>
                <w:rFonts w:hint="cs"/>
                <w:rtl/>
              </w:rPr>
              <w:t>7. עו"ד אלדד רבינוביץ'</w:t>
            </w:r>
          </w:p>
          <w:p w:rsidR="006B2DA7" w:rsidRDefault="006B2DA7" w:rsidP="00AA7D38">
            <w:pPr>
              <w:pStyle w:val="BodyRuller"/>
              <w:rPr>
                <w:rtl/>
              </w:rPr>
            </w:pPr>
            <w:r>
              <w:rPr>
                <w:rFonts w:hint="cs"/>
                <w:rtl/>
              </w:rPr>
              <w:t>8. צבי עבו</w:t>
            </w:r>
          </w:p>
          <w:p w:rsidR="006B2DA7" w:rsidRDefault="006B2DA7" w:rsidP="00AA7D38">
            <w:pPr>
              <w:pStyle w:val="BodyRuller"/>
              <w:rPr>
                <w:rtl/>
              </w:rPr>
            </w:pPr>
            <w:r>
              <w:rPr>
                <w:rFonts w:hint="cs"/>
                <w:rtl/>
              </w:rPr>
              <w:t>9. דינה בר יוסף</w:t>
            </w:r>
          </w:p>
        </w:tc>
      </w:tr>
    </w:tbl>
    <w:p w:rsidR="006B2DA7" w:rsidRDefault="006B2DA7">
      <w:pPr>
        <w:pStyle w:val="Ruller3"/>
        <w:rPr>
          <w:rtl/>
        </w:rPr>
      </w:pPr>
    </w:p>
    <w:tbl>
      <w:tblPr>
        <w:bidiVisual/>
        <w:tblW w:w="8363" w:type="dxa"/>
        <w:tblLook w:val="0000" w:firstRow="0" w:lastRow="0" w:firstColumn="0" w:lastColumn="0" w:noHBand="0" w:noVBand="0"/>
      </w:tblPr>
      <w:tblGrid>
        <w:gridCol w:w="3222"/>
        <w:gridCol w:w="5141"/>
      </w:tblGrid>
      <w:tr w:rsidR="00036227" w:rsidTr="006B2DA7">
        <w:tc>
          <w:tcPr>
            <w:tcW w:w="3222" w:type="dxa"/>
          </w:tcPr>
          <w:p w:rsidR="00036227" w:rsidRDefault="00036227">
            <w:pPr>
              <w:pStyle w:val="BodyRuller"/>
            </w:pPr>
          </w:p>
        </w:tc>
        <w:tc>
          <w:tcPr>
            <w:tcW w:w="5141"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pPr>
        <w:pStyle w:val="Ruller3"/>
        <w:rPr>
          <w:rtl/>
        </w:rPr>
      </w:pPr>
    </w:p>
    <w:tbl>
      <w:tblPr>
        <w:bidiVisual/>
        <w:tblW w:w="8364" w:type="dxa"/>
        <w:tblLayout w:type="fixed"/>
        <w:tblLook w:val="0000" w:firstRow="0" w:lastRow="0" w:firstColumn="0" w:lastColumn="0" w:noHBand="0" w:noVBand="0"/>
      </w:tblPr>
      <w:tblGrid>
        <w:gridCol w:w="3210"/>
        <w:gridCol w:w="5154"/>
      </w:tblGrid>
      <w:tr w:rsidR="0083345F" w:rsidTr="00DD6306">
        <w:trPr>
          <w:trHeight w:val="287"/>
        </w:trPr>
        <w:tc>
          <w:tcPr>
            <w:tcW w:w="3261" w:type="dxa"/>
          </w:tcPr>
          <w:p w:rsidR="0083345F" w:rsidRPr="00E75223" w:rsidRDefault="0000601B" w:rsidP="00DD6306">
            <w:pPr>
              <w:pStyle w:val="BodyRuller"/>
              <w:rPr>
                <w:rFonts w:ascii="David" w:hAnsi="David"/>
              </w:rPr>
            </w:pPr>
            <w:r>
              <w:rPr>
                <w:rFonts w:ascii="David" w:hAnsi="David"/>
                <w:rtl/>
              </w:rPr>
              <w:t>המשיב</w:t>
            </w:r>
            <w:r w:rsidR="006B2DA7">
              <w:rPr>
                <w:rFonts w:ascii="David" w:hAnsi="David" w:hint="cs"/>
                <w:rtl/>
              </w:rPr>
              <w:t>ה בבג"ץ 8351/23</w:t>
            </w:r>
            <w:r>
              <w:rPr>
                <w:rFonts w:ascii="David" w:hAnsi="David"/>
                <w:rtl/>
              </w:rPr>
              <w:t>:</w:t>
            </w:r>
          </w:p>
        </w:tc>
        <w:tc>
          <w:tcPr>
            <w:tcW w:w="5239" w:type="dxa"/>
          </w:tcPr>
          <w:p w:rsidR="0083345F" w:rsidRDefault="0000601B" w:rsidP="00DD6306">
            <w:pPr>
              <w:pStyle w:val="BodyRuller"/>
            </w:pPr>
            <w:r>
              <w:rPr>
                <w:rtl/>
              </w:rPr>
              <w:t>ממשלת ישראל</w:t>
            </w:r>
          </w:p>
        </w:tc>
      </w:tr>
    </w:tbl>
    <w:p w:rsidR="0083345F" w:rsidRDefault="0083345F">
      <w:pPr>
        <w:pStyle w:val="Ruller3"/>
        <w:rPr>
          <w:rtl/>
        </w:rPr>
      </w:pPr>
    </w:p>
    <w:tbl>
      <w:tblPr>
        <w:bidiVisual/>
        <w:tblW w:w="8364" w:type="dxa"/>
        <w:tblLayout w:type="fixed"/>
        <w:tblLook w:val="0000" w:firstRow="0" w:lastRow="0" w:firstColumn="0" w:lastColumn="0" w:noHBand="0" w:noVBand="0"/>
      </w:tblPr>
      <w:tblGrid>
        <w:gridCol w:w="3210"/>
        <w:gridCol w:w="5154"/>
      </w:tblGrid>
      <w:tr w:rsidR="006B2DA7" w:rsidTr="00AA7D38">
        <w:trPr>
          <w:trHeight w:val="287"/>
        </w:trPr>
        <w:tc>
          <w:tcPr>
            <w:tcW w:w="3261" w:type="dxa"/>
          </w:tcPr>
          <w:p w:rsidR="006B2DA7" w:rsidRPr="00E75223" w:rsidRDefault="006B2DA7" w:rsidP="006B2DA7">
            <w:pPr>
              <w:pStyle w:val="BodyRuller"/>
              <w:rPr>
                <w:rFonts w:ascii="David" w:hAnsi="David"/>
              </w:rPr>
            </w:pPr>
            <w:r>
              <w:rPr>
                <w:rFonts w:ascii="David" w:hAnsi="David"/>
                <w:rtl/>
              </w:rPr>
              <w:t>המשיב</w:t>
            </w:r>
            <w:r>
              <w:rPr>
                <w:rFonts w:ascii="David" w:hAnsi="David" w:hint="cs"/>
                <w:rtl/>
              </w:rPr>
              <w:t>ים בבג"ץ 8352/23</w:t>
            </w:r>
            <w:r>
              <w:rPr>
                <w:rFonts w:ascii="David" w:hAnsi="David"/>
                <w:rtl/>
              </w:rPr>
              <w:t>:</w:t>
            </w:r>
          </w:p>
        </w:tc>
        <w:tc>
          <w:tcPr>
            <w:tcW w:w="5239" w:type="dxa"/>
          </w:tcPr>
          <w:p w:rsidR="006B2DA7" w:rsidRDefault="006B2DA7" w:rsidP="00AA7D38">
            <w:pPr>
              <w:pStyle w:val="BodyRuller"/>
              <w:rPr>
                <w:rtl/>
              </w:rPr>
            </w:pPr>
            <w:r>
              <w:rPr>
                <w:rFonts w:hint="cs"/>
                <w:rtl/>
              </w:rPr>
              <w:t>1. בנימין נתניהו, ראש ממשלת ישראל</w:t>
            </w:r>
          </w:p>
          <w:p w:rsidR="006B2DA7" w:rsidRDefault="006B2DA7" w:rsidP="00AA7D38">
            <w:pPr>
              <w:pStyle w:val="BodyRuller"/>
              <w:rPr>
                <w:rtl/>
              </w:rPr>
            </w:pPr>
            <w:r>
              <w:rPr>
                <w:rFonts w:hint="cs"/>
                <w:rtl/>
              </w:rPr>
              <w:t xml:space="preserve">2. יואב </w:t>
            </w:r>
            <w:proofErr w:type="spellStart"/>
            <w:r>
              <w:rPr>
                <w:rFonts w:hint="cs"/>
                <w:rtl/>
              </w:rPr>
              <w:t>גלנט</w:t>
            </w:r>
            <w:proofErr w:type="spellEnd"/>
            <w:r>
              <w:rPr>
                <w:rFonts w:hint="cs"/>
                <w:rtl/>
              </w:rPr>
              <w:t>, שר הביטחון</w:t>
            </w:r>
          </w:p>
          <w:p w:rsidR="006B2DA7" w:rsidRDefault="006B2DA7" w:rsidP="00AA7D38">
            <w:pPr>
              <w:pStyle w:val="BodyRuller"/>
              <w:rPr>
                <w:rtl/>
              </w:rPr>
            </w:pPr>
            <w:r>
              <w:rPr>
                <w:rFonts w:hint="cs"/>
                <w:rtl/>
              </w:rPr>
              <w:t>3. בני גנץ, חבר קבינט המלחמה</w:t>
            </w:r>
          </w:p>
          <w:p w:rsidR="006B2DA7" w:rsidRDefault="006B2DA7" w:rsidP="00AA7D38">
            <w:pPr>
              <w:pStyle w:val="BodyRuller"/>
              <w:rPr>
                <w:rtl/>
              </w:rPr>
            </w:pPr>
            <w:r>
              <w:rPr>
                <w:rFonts w:hint="cs"/>
                <w:rtl/>
              </w:rPr>
              <w:t>4. איתמר בן גביר, השר לביטחון לאומי</w:t>
            </w:r>
          </w:p>
          <w:p w:rsidR="006B2DA7" w:rsidRDefault="006B2DA7" w:rsidP="00AA7D38">
            <w:pPr>
              <w:pStyle w:val="BodyRuller"/>
              <w:rPr>
                <w:rtl/>
              </w:rPr>
            </w:pPr>
            <w:r>
              <w:rPr>
                <w:rFonts w:hint="cs"/>
                <w:rtl/>
              </w:rPr>
              <w:t>5. רונן בר, ראש שירות הביטחון הכללי</w:t>
            </w:r>
          </w:p>
          <w:p w:rsidR="006B2DA7" w:rsidRDefault="006B2DA7" w:rsidP="00AA7D38">
            <w:pPr>
              <w:pStyle w:val="BodyRuller"/>
            </w:pPr>
            <w:r>
              <w:rPr>
                <w:rFonts w:hint="cs"/>
                <w:rtl/>
              </w:rPr>
              <w:t>6. צחי הנגבי, ראש המטה לביטחון לאומי</w:t>
            </w:r>
          </w:p>
        </w:tc>
      </w:tr>
    </w:tbl>
    <w:p w:rsidR="006B2DA7" w:rsidRPr="006B2DA7" w:rsidRDefault="006B2DA7">
      <w:pPr>
        <w:pStyle w:val="Ruller3"/>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265F6E" w:rsidRDefault="006B2DA7">
            <w:pPr>
              <w:pStyle w:val="BodyRuller"/>
              <w:rPr>
                <w:sz w:val="24"/>
                <w:szCs w:val="24"/>
              </w:rPr>
            </w:pPr>
            <w:r>
              <w:rPr>
                <w:rFonts w:hint="cs"/>
                <w:sz w:val="24"/>
                <w:szCs w:val="24"/>
                <w:rtl/>
              </w:rPr>
              <w:t>עתירה למתן צו על-תנאי</w:t>
            </w:r>
          </w:p>
        </w:tc>
      </w:tr>
    </w:tbl>
    <w:p w:rsidR="00916FF8" w:rsidRPr="006B2DA7" w:rsidRDefault="00916FF8">
      <w:pPr>
        <w:pStyle w:val="Ruller3"/>
        <w:rPr>
          <w:rtl/>
        </w:rPr>
      </w:pPr>
    </w:p>
    <w:tbl>
      <w:tblPr>
        <w:bidiVisual/>
        <w:tblW w:w="8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
        <w:gridCol w:w="3186"/>
        <w:gridCol w:w="19"/>
        <w:gridCol w:w="5131"/>
        <w:gridCol w:w="27"/>
      </w:tblGrid>
      <w:tr w:rsidR="006B2DA7" w:rsidTr="005162AA">
        <w:trPr>
          <w:gridAfter w:val="1"/>
          <w:wAfter w:w="27" w:type="dxa"/>
        </w:trPr>
        <w:tc>
          <w:tcPr>
            <w:tcW w:w="3213" w:type="dxa"/>
            <w:gridSpan w:val="2"/>
            <w:tcBorders>
              <w:top w:val="nil"/>
              <w:left w:val="nil"/>
              <w:bottom w:val="nil"/>
              <w:right w:val="nil"/>
            </w:tcBorders>
          </w:tcPr>
          <w:p w:rsidR="006B2DA7" w:rsidRPr="006B2DA7" w:rsidRDefault="006B2DA7" w:rsidP="00AA7D38">
            <w:pPr>
              <w:pStyle w:val="BodyRuller"/>
            </w:pPr>
            <w:r>
              <w:rPr>
                <w:rFonts w:hint="cs"/>
                <w:rtl/>
              </w:rPr>
              <w:t xml:space="preserve">בשם </w:t>
            </w:r>
            <w:r w:rsidRPr="006B2DA7">
              <w:rPr>
                <w:rtl/>
              </w:rPr>
              <w:t>העותרים</w:t>
            </w:r>
            <w:r w:rsidRPr="006B2DA7">
              <w:rPr>
                <w:rFonts w:hint="cs"/>
                <w:rtl/>
              </w:rPr>
              <w:t xml:space="preserve"> בבג"ץ 8351/23</w:t>
            </w:r>
            <w:r w:rsidRPr="006B2DA7">
              <w:rPr>
                <w:rtl/>
              </w:rPr>
              <w:t>:</w:t>
            </w:r>
          </w:p>
        </w:tc>
        <w:tc>
          <w:tcPr>
            <w:tcW w:w="5150" w:type="dxa"/>
            <w:gridSpan w:val="2"/>
            <w:tcBorders>
              <w:top w:val="nil"/>
              <w:left w:val="nil"/>
              <w:bottom w:val="nil"/>
              <w:right w:val="nil"/>
            </w:tcBorders>
          </w:tcPr>
          <w:p w:rsidR="006B2DA7" w:rsidRDefault="006B2DA7" w:rsidP="00AA7D38">
            <w:pPr>
              <w:pStyle w:val="BodyRuller"/>
            </w:pPr>
            <w:r>
              <w:rPr>
                <w:rFonts w:hint="cs"/>
                <w:rtl/>
              </w:rPr>
              <w:t xml:space="preserve">עו"ד משה </w:t>
            </w:r>
            <w:proofErr w:type="spellStart"/>
            <w:r>
              <w:rPr>
                <w:rFonts w:hint="cs"/>
                <w:rtl/>
              </w:rPr>
              <w:t>פולסקי</w:t>
            </w:r>
            <w:proofErr w:type="spellEnd"/>
          </w:p>
        </w:tc>
      </w:tr>
      <w:tr w:rsidR="00036227" w:rsidTr="005162AA">
        <w:trPr>
          <w:gridAfter w:val="1"/>
          <w:wAfter w:w="27" w:type="dxa"/>
        </w:trPr>
        <w:tc>
          <w:tcPr>
            <w:tcW w:w="3213" w:type="dxa"/>
            <w:gridSpan w:val="2"/>
            <w:tcBorders>
              <w:top w:val="nil"/>
              <w:left w:val="nil"/>
              <w:bottom w:val="nil"/>
              <w:right w:val="nil"/>
            </w:tcBorders>
          </w:tcPr>
          <w:p w:rsidR="00036227" w:rsidRDefault="00036227">
            <w:pPr>
              <w:pStyle w:val="BodyRuller"/>
            </w:pPr>
          </w:p>
        </w:tc>
        <w:tc>
          <w:tcPr>
            <w:tcW w:w="5150" w:type="dxa"/>
            <w:gridSpan w:val="2"/>
            <w:tcBorders>
              <w:top w:val="nil"/>
              <w:left w:val="nil"/>
              <w:bottom w:val="nil"/>
              <w:right w:val="nil"/>
            </w:tcBorders>
          </w:tcPr>
          <w:p w:rsidR="00036227" w:rsidRDefault="00036227">
            <w:pPr>
              <w:pStyle w:val="BodyRuller"/>
            </w:pPr>
          </w:p>
        </w:tc>
      </w:tr>
      <w:tr w:rsidR="006B2DA7" w:rsidTr="005162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Height w:val="287"/>
        </w:trPr>
        <w:tc>
          <w:tcPr>
            <w:tcW w:w="3213" w:type="dxa"/>
            <w:gridSpan w:val="2"/>
          </w:tcPr>
          <w:p w:rsidR="006B2DA7" w:rsidRPr="00E75223" w:rsidRDefault="006B2DA7" w:rsidP="00AA7D38">
            <w:pPr>
              <w:pStyle w:val="BodyRuller"/>
              <w:rPr>
                <w:rFonts w:ascii="David" w:hAnsi="David"/>
              </w:rPr>
            </w:pPr>
            <w:r>
              <w:rPr>
                <w:rFonts w:ascii="David" w:hAnsi="David" w:hint="cs"/>
                <w:rtl/>
              </w:rPr>
              <w:lastRenderedPageBreak/>
              <w:t xml:space="preserve">בשם </w:t>
            </w:r>
            <w:r>
              <w:rPr>
                <w:rFonts w:ascii="David" w:hAnsi="David"/>
                <w:rtl/>
              </w:rPr>
              <w:t>העותרים</w:t>
            </w:r>
            <w:r>
              <w:rPr>
                <w:rFonts w:ascii="David" w:hAnsi="David" w:hint="cs"/>
                <w:rtl/>
              </w:rPr>
              <w:t xml:space="preserve"> בבג"ץ 8352/23</w:t>
            </w:r>
            <w:r>
              <w:rPr>
                <w:rFonts w:ascii="David" w:hAnsi="David"/>
                <w:rtl/>
              </w:rPr>
              <w:t>:</w:t>
            </w:r>
          </w:p>
        </w:tc>
        <w:tc>
          <w:tcPr>
            <w:tcW w:w="5150" w:type="dxa"/>
            <w:gridSpan w:val="2"/>
          </w:tcPr>
          <w:p w:rsidR="006B2DA7" w:rsidRDefault="006B2DA7" w:rsidP="00AA7D38">
            <w:pPr>
              <w:pStyle w:val="BodyRuller"/>
            </w:pPr>
            <w:r>
              <w:rPr>
                <w:rFonts w:hint="cs"/>
                <w:rtl/>
              </w:rPr>
              <w:t xml:space="preserve">עו"ד דניאל </w:t>
            </w:r>
            <w:proofErr w:type="spellStart"/>
            <w:r>
              <w:rPr>
                <w:rFonts w:hint="cs"/>
                <w:rtl/>
              </w:rPr>
              <w:t>שימשילשוילי</w:t>
            </w:r>
            <w:proofErr w:type="spellEnd"/>
          </w:p>
        </w:tc>
      </w:tr>
      <w:tr w:rsidR="00036227" w:rsidTr="005162AA">
        <w:trPr>
          <w:gridBefore w:val="1"/>
          <w:wBefore w:w="27" w:type="dxa"/>
        </w:trPr>
        <w:tc>
          <w:tcPr>
            <w:tcW w:w="3205" w:type="dxa"/>
            <w:gridSpan w:val="2"/>
            <w:tcBorders>
              <w:top w:val="nil"/>
              <w:left w:val="nil"/>
              <w:bottom w:val="nil"/>
              <w:right w:val="nil"/>
            </w:tcBorders>
          </w:tcPr>
          <w:p w:rsidR="006B2DA7" w:rsidRDefault="006B2DA7">
            <w:pPr>
              <w:pStyle w:val="BodyRuller"/>
              <w:rPr>
                <w:rtl/>
              </w:rPr>
            </w:pPr>
          </w:p>
          <w:p w:rsidR="006B2DA7" w:rsidRDefault="006B2DA7">
            <w:pPr>
              <w:pStyle w:val="BodyRuller"/>
            </w:pPr>
          </w:p>
        </w:tc>
        <w:tc>
          <w:tcPr>
            <w:tcW w:w="5158" w:type="dxa"/>
            <w:gridSpan w:val="2"/>
            <w:tcBorders>
              <w:top w:val="nil"/>
              <w:left w:val="nil"/>
              <w:bottom w:val="nil"/>
              <w:right w:val="nil"/>
            </w:tcBorders>
          </w:tcPr>
          <w:p w:rsidR="00036227" w:rsidRDefault="00036227">
            <w:pPr>
              <w:pStyle w:val="BodyRuller"/>
            </w:pPr>
          </w:p>
        </w:tc>
      </w:tr>
      <w:tr w:rsidR="00036227" w:rsidTr="005162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363" w:type="dxa"/>
            <w:gridSpan w:val="4"/>
          </w:tcPr>
          <w:p w:rsidR="00916FF8" w:rsidRDefault="0000601B">
            <w:pPr>
              <w:pStyle w:val="DocumentHead"/>
            </w:pPr>
            <w:bookmarkStart w:id="2" w:name="secretary"/>
            <w:bookmarkStart w:id="3" w:name="BeginProtocol"/>
            <w:bookmarkEnd w:id="2"/>
            <w:bookmarkEnd w:id="3"/>
            <w:r>
              <w:rPr>
                <w:rtl/>
              </w:rPr>
              <w:t>פסק-דין</w:t>
            </w:r>
          </w:p>
        </w:tc>
      </w:tr>
    </w:tbl>
    <w:p w:rsidR="0065522F" w:rsidRDefault="0065522F">
      <w:pPr>
        <w:pStyle w:val="BODYVERDICT"/>
      </w:pPr>
    </w:p>
    <w:p w:rsidR="00916FF8" w:rsidRPr="00503A3E" w:rsidRDefault="0000601B">
      <w:pPr>
        <w:pStyle w:val="BODYVERDICT"/>
        <w:rPr>
          <w:rFonts w:cs="Miriam"/>
          <w:sz w:val="24"/>
          <w:szCs w:val="24"/>
          <w:u w:val="single"/>
          <w:rtl/>
        </w:rPr>
      </w:pPr>
      <w:bookmarkStart w:id="4" w:name="Writer_Name"/>
      <w:bookmarkEnd w:id="4"/>
      <w:r>
        <w:rPr>
          <w:rFonts w:cs="Miriam"/>
          <w:sz w:val="24"/>
          <w:szCs w:val="24"/>
          <w:u w:val="single"/>
          <w:rtl/>
        </w:rPr>
        <w:t>השופט א' שטיין:</w:t>
      </w:r>
    </w:p>
    <w:p w:rsidR="000B1478" w:rsidRDefault="000B1478" w:rsidP="00A51FAE">
      <w:pPr>
        <w:pStyle w:val="Ruller40"/>
        <w:rPr>
          <w:rtl/>
        </w:rPr>
      </w:pPr>
      <w:bookmarkStart w:id="5" w:name="Start_Write"/>
      <w:bookmarkEnd w:id="5"/>
    </w:p>
    <w:p w:rsidR="006B2DA7" w:rsidRDefault="006B2DA7" w:rsidP="006B2DA7">
      <w:pPr>
        <w:pStyle w:val="Ruller4"/>
      </w:pPr>
      <w:r>
        <w:rPr>
          <w:rFonts w:hint="cs"/>
          <w:rtl/>
        </w:rPr>
        <w:t xml:space="preserve">העתירות שהונחו </w:t>
      </w:r>
      <w:r w:rsidRPr="006B2DA7">
        <w:rPr>
          <w:rFonts w:ascii="Century" w:hAnsi="Century" w:hint="cs"/>
          <w:sz w:val="22"/>
          <w:rtl/>
        </w:rPr>
        <w:t>לפתחנו תוקפות את החלטת ממשלה מס' 1077 בדבר שחרורם של 300 אסירים ביטחונ</w:t>
      </w:r>
      <w:r>
        <w:rPr>
          <w:rFonts w:hint="cs"/>
          <w:rtl/>
        </w:rPr>
        <w:t xml:space="preserve">יים ששמותיהם ועבירותיהם מפורטים בנספח אשר צורף להחלטה יחד עם חוות הדעת הביטחונית עליה חתום ראש המועצה לביטחון לאומי, מר צחי הנגבי. ממשלת ישראל קיבלה החלטה זו ביום 22.11.2023, בהמשך להמלצת הקבינט לניהול מלחמת "חרבות ברזל" מיום 21.11.2023 ואחרי עיון בחוות הדעת האמורה (להלן: </w:t>
      </w:r>
      <w:r w:rsidRPr="00B719D5">
        <w:rPr>
          <w:rFonts w:ascii="Century" w:hAnsi="Century" w:cs="Miriam" w:hint="cs"/>
          <w:b/>
          <w:spacing w:val="0"/>
          <w:sz w:val="22"/>
          <w:szCs w:val="24"/>
          <w:rtl/>
        </w:rPr>
        <w:t>החלטת הממשלה</w:t>
      </w:r>
      <w:r>
        <w:rPr>
          <w:rFonts w:hint="cs"/>
          <w:rtl/>
        </w:rPr>
        <w:t>).</w:t>
      </w:r>
    </w:p>
    <w:p w:rsidR="006B2DA7" w:rsidRDefault="006B2DA7" w:rsidP="006B2DA7">
      <w:pPr>
        <w:pStyle w:val="Ruller4"/>
        <w:numPr>
          <w:ilvl w:val="0"/>
          <w:numId w:val="0"/>
        </w:numPr>
      </w:pPr>
    </w:p>
    <w:p w:rsidR="006B2DA7" w:rsidRDefault="006B2DA7" w:rsidP="006B2DA7">
      <w:pPr>
        <w:pStyle w:val="Ruller4"/>
      </w:pPr>
      <w:r>
        <w:rPr>
          <w:rFonts w:hint="cs"/>
          <w:rtl/>
        </w:rPr>
        <w:t xml:space="preserve">שחרור האסירים כאמור עתיד להתבצע כחלק מהמתווה במסגרתו ישוחררו משבי הארגון הטרוריסטי חמאס עד 100 אזרחי המדינה או תושביה </w:t>
      </w:r>
      <w:r>
        <w:rPr>
          <w:rtl/>
        </w:rPr>
        <w:t>–</w:t>
      </w:r>
      <w:r>
        <w:rPr>
          <w:rFonts w:hint="cs"/>
          <w:rtl/>
        </w:rPr>
        <w:t xml:space="preserve"> בתוכם נשים, זקנים וטף </w:t>
      </w:r>
      <w:r>
        <w:rPr>
          <w:rtl/>
        </w:rPr>
        <w:t>–</w:t>
      </w:r>
      <w:r>
        <w:rPr>
          <w:rFonts w:hint="cs"/>
          <w:rtl/>
        </w:rPr>
        <w:t xml:space="preserve"> אשר נחטפו על ידי מחבלי החמאס במהלך מתקפתם הרצחנית ביום 7.10.2023 (להלן: </w:t>
      </w:r>
      <w:r w:rsidRPr="00935709">
        <w:rPr>
          <w:rFonts w:ascii="Century" w:hAnsi="Century" w:cs="Miriam" w:hint="cs"/>
          <w:b/>
          <w:spacing w:val="0"/>
          <w:sz w:val="22"/>
          <w:szCs w:val="24"/>
          <w:rtl/>
        </w:rPr>
        <w:t>מתווה השחרור</w:t>
      </w:r>
      <w:r>
        <w:rPr>
          <w:rFonts w:hint="cs"/>
          <w:rtl/>
        </w:rPr>
        <w:t xml:space="preserve">). במסגרת מתווה השחרור, שחרור האסירים כאמור יתבצע בשני שלבים, פעימה-אחר-פעימה, ורק אחרי העברת החטופים הישראליים, בעודם בחיים, לידי כוחות הביטחון של מדינת ישראל. בהתאם להחלטת הממשלה, מדינת ישראל תסכים להפוגה בלחימה בשטחה של רצועת עזה כדי לאפשר את יישום המתווה. החלטת הממשלה כוללת בתוכה אמות מידה להיקף שחרורם של האסירים הביטחוניים. עיון ברשימת האסירים הביטחוניים אשר צורפה כנספח להחלטת הממשלה מעלה כי איש מהם לא נמצא אשם במותו של אזרח או תושב ישראלי. </w:t>
      </w:r>
    </w:p>
    <w:p w:rsidR="006B2DA7" w:rsidRDefault="006B2DA7" w:rsidP="006B2DA7">
      <w:pPr>
        <w:pStyle w:val="Ruller4"/>
        <w:numPr>
          <w:ilvl w:val="0"/>
          <w:numId w:val="0"/>
        </w:numPr>
      </w:pPr>
    </w:p>
    <w:p w:rsidR="006B2DA7" w:rsidRDefault="006B2DA7" w:rsidP="006B2DA7">
      <w:pPr>
        <w:pStyle w:val="Ruller4"/>
      </w:pPr>
      <w:r>
        <w:rPr>
          <w:rFonts w:hint="cs"/>
          <w:rtl/>
        </w:rPr>
        <w:t xml:space="preserve">העתירה בבג"ץ 8351/23 מעלה טענות הזהות בעיקרן לאלו אשר הועלו, ונדחו על ידינו, בבג"ץ 8349/23 </w:t>
      </w:r>
      <w:r w:rsidRPr="00D51BC0">
        <w:rPr>
          <w:rFonts w:ascii="Century" w:hAnsi="Century" w:cs="Miriam" w:hint="cs"/>
          <w:b/>
          <w:spacing w:val="0"/>
          <w:sz w:val="22"/>
          <w:szCs w:val="24"/>
          <w:rtl/>
        </w:rPr>
        <w:t>ארגון אלמגור נ' מדינת ישראל</w:t>
      </w:r>
      <w:r w:rsidRPr="00D51BC0">
        <w:rPr>
          <w:rFonts w:hint="cs"/>
          <w:rtl/>
        </w:rPr>
        <w:t xml:space="preserve"> </w:t>
      </w:r>
      <w:r>
        <w:rPr>
          <w:rFonts w:hint="cs"/>
          <w:rtl/>
        </w:rPr>
        <w:t xml:space="preserve">(22.11.2023) (להלן: עניין </w:t>
      </w:r>
      <w:r w:rsidRPr="00D51BC0">
        <w:rPr>
          <w:rFonts w:ascii="Century" w:hAnsi="Century" w:cs="Miriam" w:hint="cs"/>
          <w:b/>
          <w:spacing w:val="0"/>
          <w:sz w:val="22"/>
          <w:szCs w:val="24"/>
          <w:rtl/>
        </w:rPr>
        <w:t>אלמגור</w:t>
      </w:r>
      <w:r>
        <w:rPr>
          <w:rFonts w:hint="cs"/>
          <w:rtl/>
        </w:rPr>
        <w:t xml:space="preserve">)). לטענות אלה לא נידרש אפוא. </w:t>
      </w:r>
    </w:p>
    <w:p w:rsidR="006B2DA7" w:rsidRDefault="006B2DA7" w:rsidP="006B2DA7">
      <w:pPr>
        <w:pStyle w:val="Ruller4"/>
        <w:numPr>
          <w:ilvl w:val="0"/>
          <w:numId w:val="0"/>
        </w:numPr>
      </w:pPr>
    </w:p>
    <w:p w:rsidR="006B2DA7" w:rsidRDefault="006B2DA7" w:rsidP="006B2DA7">
      <w:pPr>
        <w:pStyle w:val="Ruller4"/>
      </w:pPr>
      <w:r>
        <w:rPr>
          <w:rFonts w:hint="cs"/>
          <w:rtl/>
        </w:rPr>
        <w:t xml:space="preserve">לצד הטענות כאמור, טוענים העותרים בבג"ץ 8351/23 כי הממשלה אינה מוסמכת לשחרר אסירים ביטחוניים שהורשעו בפלילים ושמרצים את מאסרם ללא חנינת הנשיא; כי ההסכם שבין הממשלה לחמאס הינו רווי סיכונים ביטחוניים, אינו מנוסח כראוי, ואף עלול להתפרש נגד האינטרסים החיוניים של המדינה, באופן שיסכל את פועלם של זרועות הביטחון ברצועת עזה; כי אינו מבטיח את שחרורם של כל החטופים </w:t>
      </w:r>
      <w:r>
        <w:rPr>
          <w:rFonts w:hint="cs"/>
          <w:rtl/>
        </w:rPr>
        <w:lastRenderedPageBreak/>
        <w:t xml:space="preserve">ועל ידי כך מפלה בין דם ודם; וכי הממשלה קיבלה החלטה נמהרת מבלי לשקול כיאות את כל היבטיה של העסקה עם החמאס. העותרים סבורים אפוא כי החלטת הממשלה לוקה בחוסר סבירות קיצוני שיורד לשורש העניין ומבקשת שנאסור על יישומה "עד לאחר קיום דיון מעמיק ויסודי ולאחר בחינה נוספת של אפשרות למתווה כולל לשחרורם של כלל החטופים, ולכל הפחות תוך קבלת הסכמתן ואישורן של כלל הרשויות המעורבות בהליכי שחרור המחבלים". למצער, מבקשים העותרים כי נורה על דחיית יישומה של החלטת הממשלה "עד לאחר שכוחות צה"ל ישלימו את כיבוש וכיתור חלקה הצפוני של רצועת עזה". </w:t>
      </w:r>
    </w:p>
    <w:p w:rsidR="006B2DA7" w:rsidRDefault="006B2DA7" w:rsidP="006B2DA7">
      <w:pPr>
        <w:pStyle w:val="Ruller4"/>
        <w:numPr>
          <w:ilvl w:val="0"/>
          <w:numId w:val="0"/>
        </w:numPr>
      </w:pPr>
    </w:p>
    <w:p w:rsidR="006B2DA7" w:rsidRDefault="006B2DA7" w:rsidP="006B2DA7">
      <w:pPr>
        <w:pStyle w:val="Ruller4"/>
        <w:rPr>
          <w:rtl/>
        </w:rPr>
      </w:pPr>
      <w:r>
        <w:rPr>
          <w:rFonts w:hint="cs"/>
          <w:rtl/>
        </w:rPr>
        <w:t>העתירה בבג"ץ 8352/23 אינה שוללת את מתווה השחרור ככזה. אולם, היא מעלה נגדו טענות שעיקרן פגיעה צפויה בביטחונם האישי של העותרים ובביטחון הציבור בכללותו אשר תיגרם בעקבות שחרורם של חלק מהמחבלים לשטחי ירושלים וסביבתה. לטענת העותרים בבג"ץ 8352/23, הממשלה חייבת להבטיח את ביטחונם ואת ביטחון הציבור לפני היישום המתוכנן של החלטתה. לצד האמור, דורשים עותרים אלה כי הממשלה תיידע אותם, ואת הציבור כולו, אודות צעדי המנע שיינקטו מטעמה על-מנת למנוע פגיעה בביטחון כאמור.</w:t>
      </w:r>
    </w:p>
    <w:p w:rsidR="006B2DA7" w:rsidRDefault="006B2DA7" w:rsidP="006B2DA7">
      <w:pPr>
        <w:pStyle w:val="Ruller40"/>
        <w:rPr>
          <w:rtl/>
        </w:rPr>
      </w:pPr>
    </w:p>
    <w:p w:rsidR="006B2DA7" w:rsidRPr="004E589D" w:rsidRDefault="006B2DA7" w:rsidP="005162AA">
      <w:pPr>
        <w:pStyle w:val="Ruller4"/>
        <w:rPr>
          <w:rFonts w:ascii="Century" w:hAnsi="Century"/>
          <w:szCs w:val="32"/>
        </w:rPr>
      </w:pPr>
      <w:r>
        <w:rPr>
          <w:rFonts w:hint="cs"/>
          <w:rtl/>
        </w:rPr>
        <w:t xml:space="preserve">טענות העותרים בשתי העתירות </w:t>
      </w:r>
      <w:r>
        <w:rPr>
          <w:rFonts w:ascii="Century" w:hAnsi="Century" w:hint="cs"/>
          <w:sz w:val="22"/>
          <w:rtl/>
        </w:rPr>
        <w:t xml:space="preserve">אשר לא הועלו ולא הוכרעו בעניין </w:t>
      </w:r>
      <w:r w:rsidRPr="00CB765D">
        <w:rPr>
          <w:rFonts w:ascii="Century" w:hAnsi="Century" w:cs="Miriam" w:hint="cs"/>
          <w:b/>
          <w:spacing w:val="0"/>
          <w:sz w:val="22"/>
          <w:szCs w:val="24"/>
          <w:rtl/>
        </w:rPr>
        <w:t>אלמגור</w:t>
      </w:r>
      <w:r>
        <w:rPr>
          <w:rFonts w:ascii="Century" w:hAnsi="Century" w:hint="cs"/>
          <w:sz w:val="22"/>
          <w:rtl/>
        </w:rPr>
        <w:t xml:space="preserve">, גם הן מבקשות מאתנו, </w:t>
      </w:r>
      <w:r>
        <w:rPr>
          <w:rFonts w:hint="cs"/>
          <w:rtl/>
        </w:rPr>
        <w:t xml:space="preserve">בסופו של יום, להתערב בשיקולי מלחמה-ושלום ומדיניות-חוץ המסורים להחלטת הממשלה (ראו: עניין </w:t>
      </w:r>
      <w:r w:rsidRPr="00CB765D">
        <w:rPr>
          <w:rFonts w:ascii="Century" w:hAnsi="Century" w:cs="Miriam" w:hint="cs"/>
          <w:b/>
          <w:spacing w:val="0"/>
          <w:sz w:val="22"/>
          <w:szCs w:val="24"/>
          <w:rtl/>
        </w:rPr>
        <w:t>אלמגור</w:t>
      </w:r>
      <w:r>
        <w:rPr>
          <w:rFonts w:hint="cs"/>
          <w:rtl/>
        </w:rPr>
        <w:t xml:space="preserve">, פסקה 8 והאסמכתאות שם). </w:t>
      </w:r>
      <w:r>
        <w:rPr>
          <w:rFonts w:ascii="Century" w:hAnsi="Century" w:hint="cs"/>
          <w:sz w:val="22"/>
          <w:rtl/>
        </w:rPr>
        <w:t xml:space="preserve">טענות העותרים בבג"ץ 8351/23 באשר לטיפול הממשלה בענייני ביטחון ולניהול הלחימה ברצועת עזה, דינן להידחות לאור מה שפסקנו בעניין </w:t>
      </w:r>
      <w:r w:rsidRPr="00CB765D">
        <w:rPr>
          <w:rFonts w:ascii="Century" w:hAnsi="Century" w:cs="Miriam" w:hint="cs"/>
          <w:b/>
          <w:spacing w:val="0"/>
          <w:sz w:val="22"/>
          <w:szCs w:val="24"/>
          <w:rtl/>
        </w:rPr>
        <w:t>אלמגור</w:t>
      </w:r>
      <w:r>
        <w:rPr>
          <w:rFonts w:ascii="Century" w:hAnsi="Century" w:hint="cs"/>
          <w:sz w:val="22"/>
          <w:rtl/>
        </w:rPr>
        <w:t xml:space="preserve"> ולנוכח האמור בפסקי הדין עליהם ביססנו את פסיקתנו. כך הוא גם לגבי טענות העותרים בבג"ץ 8352/23 שעניינן שחרור משוער של חלק מהמחבלים לתוככי העיר ירושלים וסביבתה </w:t>
      </w:r>
      <w:r>
        <w:rPr>
          <w:rFonts w:ascii="Century" w:hAnsi="Century"/>
          <w:sz w:val="22"/>
          <w:rtl/>
        </w:rPr>
        <w:t>–</w:t>
      </w:r>
      <w:r>
        <w:rPr>
          <w:rFonts w:ascii="Century" w:hAnsi="Century" w:hint="cs"/>
          <w:sz w:val="22"/>
          <w:rtl/>
        </w:rPr>
        <w:t xml:space="preserve"> כעולה מהחלטת הממשלה, החלטה זו התקבלה על יסוד חוות דעת ביטחונית של המטה לביטחון לאומי, אשר גובשה לאחר שהתקבלו עמדות כל גורמי הביטחון. חזקה על הממשלה ועל זרועות הביטחון, עליהן היא מופקדת, שאלה הפעילו ויפעילו את שיקול דעתן באשר להיבטיו הביטחוניים של שחרור מחבלים שחלקם עשוי להגיע לסביבתה של ירושלים. בניגוד לעמדת העותרים בבג"ץ 8352/23, נראה גם כי </w:t>
      </w:r>
      <w:r w:rsidRPr="00F111E7">
        <w:rPr>
          <w:rFonts w:ascii="Century" w:hAnsi="Century" w:hint="cs"/>
          <w:sz w:val="22"/>
          <w:rtl/>
        </w:rPr>
        <w:t>על הממשלה לא מוטלת חובה לגלות לציבור</w:t>
      </w:r>
      <w:r>
        <w:rPr>
          <w:rFonts w:ascii="Century" w:hAnsi="Century" w:hint="cs"/>
          <w:sz w:val="22"/>
          <w:rtl/>
        </w:rPr>
        <w:t xml:space="preserve"> את פרטי היערכותה הביטחונית ולפרט את הצעדים בהם תנקוט על-מנת להבטיח </w:t>
      </w:r>
      <w:r w:rsidRPr="005162AA">
        <w:rPr>
          <w:rFonts w:ascii="Century" w:hAnsi="Century" w:hint="cs"/>
          <w:sz w:val="22"/>
          <w:rtl/>
        </w:rPr>
        <w:t xml:space="preserve">את שלום הציבור ולהגן על ביטחונו באזור ירושלים, או במקום אחר. </w:t>
      </w:r>
      <w:r w:rsidR="005162AA">
        <w:rPr>
          <w:rFonts w:ascii="Century" w:hAnsi="Century" w:hint="cs"/>
          <w:sz w:val="22"/>
          <w:rtl/>
        </w:rPr>
        <w:t>חזקה על המשיבים כי ישקלו מתן הודעה מתאימה לנפגעי פעולות טרור, ככל שמדובר בשחרורו של מחבל שפגע בהם או בבני משפחתם.</w:t>
      </w:r>
    </w:p>
    <w:p w:rsidR="006B2DA7" w:rsidRDefault="006B2DA7" w:rsidP="006B2DA7">
      <w:pPr>
        <w:pStyle w:val="Ruller4"/>
        <w:rPr>
          <w:rFonts w:ascii="Century" w:hAnsi="Century"/>
          <w:sz w:val="22"/>
        </w:rPr>
      </w:pPr>
      <w:r>
        <w:rPr>
          <w:rFonts w:ascii="Century" w:hAnsi="Century" w:hint="cs"/>
          <w:sz w:val="22"/>
          <w:rtl/>
        </w:rPr>
        <w:lastRenderedPageBreak/>
        <w:t xml:space="preserve">באשר לצורך בחנינה פורמלית מטעמו של נשיא המדינה או של מפקד האזור יהודה ושומרון </w:t>
      </w:r>
      <w:r>
        <w:rPr>
          <w:rFonts w:ascii="Century" w:hAnsi="Century"/>
          <w:sz w:val="22"/>
          <w:rtl/>
        </w:rPr>
        <w:t>–</w:t>
      </w:r>
      <w:r>
        <w:rPr>
          <w:rFonts w:ascii="Century" w:hAnsi="Century" w:hint="cs"/>
          <w:sz w:val="22"/>
          <w:rtl/>
        </w:rPr>
        <w:t xml:space="preserve"> ראשית, נראה כי האמור </w:t>
      </w:r>
      <w:r>
        <w:rPr>
          <w:rFonts w:hint="cs"/>
          <w:rtl/>
        </w:rPr>
        <w:t xml:space="preserve">בסעיף 8ב(א)(1) לחוק </w:t>
      </w:r>
      <w:r w:rsidRPr="00C118A7">
        <w:rPr>
          <w:rFonts w:hint="eastAsia"/>
          <w:rtl/>
        </w:rPr>
        <w:t>הממשלה</w:t>
      </w:r>
      <w:r w:rsidRPr="00C118A7">
        <w:rPr>
          <w:rtl/>
        </w:rPr>
        <w:t xml:space="preserve">, </w:t>
      </w:r>
      <w:r>
        <w:rPr>
          <w:rFonts w:hint="cs"/>
          <w:rtl/>
        </w:rPr>
        <w:t>ה</w:t>
      </w:r>
      <w:r w:rsidRPr="00C118A7">
        <w:rPr>
          <w:rFonts w:hint="eastAsia"/>
          <w:rtl/>
        </w:rPr>
        <w:t>תשס</w:t>
      </w:r>
      <w:r w:rsidRPr="00C118A7">
        <w:rPr>
          <w:rtl/>
        </w:rPr>
        <w:t>"</w:t>
      </w:r>
      <w:r w:rsidRPr="00C118A7">
        <w:rPr>
          <w:rFonts w:hint="eastAsia"/>
          <w:rtl/>
        </w:rPr>
        <w:t>א</w:t>
      </w:r>
      <w:r w:rsidRPr="00C118A7">
        <w:rPr>
          <w:rtl/>
        </w:rPr>
        <w:t>-2001</w:t>
      </w:r>
      <w:r>
        <w:rPr>
          <w:rFonts w:hint="cs"/>
          <w:rtl/>
        </w:rPr>
        <w:t>, לפיו פעלה הממשלה במקרה דנן, אינו מתנה את פעולתה בהשגת חנינה פורמלית; ושנית,</w:t>
      </w:r>
      <w:r>
        <w:rPr>
          <w:rFonts w:ascii="Century" w:hAnsi="Century" w:hint="cs"/>
          <w:sz w:val="22"/>
          <w:rtl/>
        </w:rPr>
        <w:t xml:space="preserve"> </w:t>
      </w:r>
      <w:r w:rsidRPr="00CB765D">
        <w:rPr>
          <w:rFonts w:ascii="Century" w:hAnsi="Century" w:hint="cs"/>
          <w:sz w:val="22"/>
          <w:rtl/>
        </w:rPr>
        <w:t>חזקה על הממשלה כי זו עשתה</w:t>
      </w:r>
      <w:r>
        <w:rPr>
          <w:rFonts w:ascii="Century" w:hAnsi="Century" w:hint="cs"/>
          <w:sz w:val="22"/>
          <w:rtl/>
        </w:rPr>
        <w:t>,</w:t>
      </w:r>
      <w:r w:rsidRPr="00CB765D">
        <w:rPr>
          <w:rFonts w:ascii="Century" w:hAnsi="Century" w:hint="cs"/>
          <w:sz w:val="22"/>
          <w:rtl/>
        </w:rPr>
        <w:t xml:space="preserve"> </w:t>
      </w:r>
      <w:r>
        <w:rPr>
          <w:rFonts w:ascii="Century" w:hAnsi="Century" w:hint="cs"/>
          <w:sz w:val="22"/>
          <w:rtl/>
        </w:rPr>
        <w:t xml:space="preserve">או תעשה במהרה, </w:t>
      </w:r>
      <w:r w:rsidRPr="00CB765D">
        <w:rPr>
          <w:rFonts w:ascii="Century" w:hAnsi="Century" w:hint="cs"/>
          <w:sz w:val="22"/>
          <w:rtl/>
        </w:rPr>
        <w:t>א</w:t>
      </w:r>
      <w:r>
        <w:rPr>
          <w:rFonts w:ascii="Century" w:hAnsi="Century" w:hint="cs"/>
          <w:sz w:val="22"/>
          <w:rtl/>
        </w:rPr>
        <w:t>ת כל התיאומים הדרושים ותדאג לצדם</w:t>
      </w:r>
      <w:r w:rsidRPr="00CB765D">
        <w:rPr>
          <w:rFonts w:ascii="Century" w:hAnsi="Century" w:hint="cs"/>
          <w:sz w:val="22"/>
          <w:rtl/>
        </w:rPr>
        <w:t xml:space="preserve"> הפורמלי של כתבי חנינה, </w:t>
      </w:r>
      <w:r>
        <w:rPr>
          <w:rFonts w:ascii="Century" w:hAnsi="Century" w:hint="cs"/>
          <w:sz w:val="22"/>
          <w:rtl/>
        </w:rPr>
        <w:t xml:space="preserve">ככל שיידרשו, </w:t>
      </w:r>
      <w:r w:rsidRPr="00CB765D">
        <w:rPr>
          <w:rFonts w:ascii="Century" w:hAnsi="Century" w:hint="cs"/>
          <w:sz w:val="22"/>
          <w:rtl/>
        </w:rPr>
        <w:t xml:space="preserve">כפי שנעשה בשעתו ביחס למחבלים ששוחררו בתמורה לשחרורו של גלעד שליט. </w:t>
      </w:r>
    </w:p>
    <w:p w:rsidR="006B2DA7" w:rsidRDefault="006B2DA7" w:rsidP="006B2DA7">
      <w:pPr>
        <w:pStyle w:val="Ruller4"/>
        <w:numPr>
          <w:ilvl w:val="0"/>
          <w:numId w:val="0"/>
        </w:numPr>
        <w:rPr>
          <w:rFonts w:ascii="Century" w:hAnsi="Century"/>
          <w:sz w:val="22"/>
        </w:rPr>
      </w:pPr>
    </w:p>
    <w:p w:rsidR="006B2DA7" w:rsidRDefault="006B2DA7" w:rsidP="006B2DA7">
      <w:pPr>
        <w:pStyle w:val="Ruller4"/>
        <w:rPr>
          <w:rFonts w:ascii="Century" w:hAnsi="Century"/>
          <w:sz w:val="22"/>
        </w:rPr>
      </w:pPr>
      <w:r>
        <w:rPr>
          <w:rFonts w:ascii="Century" w:hAnsi="Century" w:hint="cs"/>
          <w:sz w:val="22"/>
          <w:rtl/>
        </w:rPr>
        <w:t>טענת העותרים בבג"ץ 8352/23, אשר מייחסת להחלטת הממשלה הפליה פסולה בין החטופים, אף היא דינה להידחות. על-פניו, וכפי שמשתקף מפעילות הממשלה, ברי הוא כי הממשלה חותרת לשחרורם של כל החטופים וכי מי שמפריד ומפלה ביניהם הוא ארגון הטרור חמאס ועושי דברו, אשר ניצבים מולה.</w:t>
      </w:r>
    </w:p>
    <w:p w:rsidR="006B2DA7" w:rsidRPr="004E589D" w:rsidRDefault="006B2DA7" w:rsidP="006B2DA7">
      <w:pPr>
        <w:pStyle w:val="Ruller4"/>
        <w:numPr>
          <w:ilvl w:val="0"/>
          <w:numId w:val="0"/>
        </w:numPr>
        <w:rPr>
          <w:rFonts w:ascii="Century" w:hAnsi="Century"/>
          <w:sz w:val="22"/>
        </w:rPr>
      </w:pPr>
    </w:p>
    <w:p w:rsidR="006B2DA7" w:rsidRPr="00CB765D" w:rsidRDefault="006B2DA7" w:rsidP="006B2DA7">
      <w:pPr>
        <w:pStyle w:val="Ruller4"/>
      </w:pPr>
      <w:r>
        <w:rPr>
          <w:rFonts w:ascii="Century" w:hAnsi="Century" w:hint="cs"/>
          <w:sz w:val="22"/>
          <w:rtl/>
        </w:rPr>
        <w:t>לאור המקובץ עד כה, סבורני כי אין יסוד לטענת העותרים בבג"ץ 8351/23 אשר מייחסת להחלטת הממשלה חוסר סבירות קיצוני. זאת, לא רק נוכח האמור ב</w:t>
      </w:r>
      <w:r>
        <w:rPr>
          <w:rFonts w:hint="cs"/>
          <w:rtl/>
        </w:rPr>
        <w:t xml:space="preserve">חוק-יסוד: השפיטה </w:t>
      </w:r>
      <w:r w:rsidRPr="00916602">
        <w:rPr>
          <w:rtl/>
        </w:rPr>
        <w:t>(</w:t>
      </w:r>
      <w:r w:rsidRPr="00916602">
        <w:rPr>
          <w:rFonts w:hint="eastAsia"/>
          <w:rtl/>
        </w:rPr>
        <w:t>תיקון</w:t>
      </w:r>
      <w:r w:rsidRPr="00916602">
        <w:rPr>
          <w:rtl/>
        </w:rPr>
        <w:t xml:space="preserve"> </w:t>
      </w:r>
      <w:r w:rsidRPr="00916602">
        <w:rPr>
          <w:rFonts w:hint="eastAsia"/>
          <w:rtl/>
        </w:rPr>
        <w:t>מס</w:t>
      </w:r>
      <w:r w:rsidRPr="00916602">
        <w:rPr>
          <w:rtl/>
        </w:rPr>
        <w:t>' 3)</w:t>
      </w:r>
      <w:r>
        <w:rPr>
          <w:rFonts w:hint="cs"/>
          <w:rtl/>
        </w:rPr>
        <w:t>, ה</w:t>
      </w:r>
      <w:r w:rsidRPr="00916602">
        <w:rPr>
          <w:rFonts w:hint="eastAsia"/>
          <w:rtl/>
        </w:rPr>
        <w:t>תשפ</w:t>
      </w:r>
      <w:r w:rsidRPr="00916602">
        <w:rPr>
          <w:rtl/>
        </w:rPr>
        <w:t>"</w:t>
      </w:r>
      <w:r w:rsidRPr="00916602">
        <w:rPr>
          <w:rFonts w:hint="eastAsia"/>
          <w:rtl/>
        </w:rPr>
        <w:t>ג</w:t>
      </w:r>
      <w:r w:rsidRPr="00916602">
        <w:rPr>
          <w:rtl/>
        </w:rPr>
        <w:t>-2023</w:t>
      </w:r>
      <w:r>
        <w:rPr>
          <w:rFonts w:hint="cs"/>
          <w:rtl/>
        </w:rPr>
        <w:t xml:space="preserve">, אשר כונן את סעיף 15(ד1) לאותו חוק יסוד, שתקפותו עומדת להכרעה לפנינו בהליך אחר. פשיטא הוא, כי גם אילו היה בידינו להתערב בהחלטת הממשלה בגדרה של דוקטרינת הסבירות, לא ניתן היה לתארה כהחלטה ששום ממשלה סבירה לא </w:t>
      </w:r>
      <w:proofErr w:type="spellStart"/>
      <w:r>
        <w:rPr>
          <w:rFonts w:hint="cs"/>
          <w:rtl/>
        </w:rPr>
        <w:t>היתה</w:t>
      </w:r>
      <w:proofErr w:type="spellEnd"/>
      <w:r>
        <w:rPr>
          <w:rFonts w:hint="cs"/>
          <w:rtl/>
        </w:rPr>
        <w:t xml:space="preserve"> מקבלת בנסיבות העניין. מדובר בהחלטה קשה, שנתקבלה בנסיבות חירום קשות מנשוא; וכפי שציינו בעניין </w:t>
      </w:r>
      <w:r w:rsidRPr="00CE4D31">
        <w:rPr>
          <w:rFonts w:ascii="Century" w:hAnsi="Century" w:cs="Miriam" w:hint="cs"/>
          <w:b/>
          <w:spacing w:val="0"/>
          <w:sz w:val="22"/>
          <w:szCs w:val="24"/>
          <w:rtl/>
        </w:rPr>
        <w:t>אלמגור</w:t>
      </w:r>
      <w:r>
        <w:rPr>
          <w:rFonts w:hint="cs"/>
          <w:rtl/>
        </w:rPr>
        <w:t xml:space="preserve">, "הסמכות [...] להעמיד כאב-מול-כאב וסבל-מול-סבל במקרים כגון זה שלפנינו מסורה לממשלת ישראל </w:t>
      </w:r>
      <w:r>
        <w:rPr>
          <w:rtl/>
        </w:rPr>
        <w:t>–</w:t>
      </w:r>
      <w:r>
        <w:rPr>
          <w:rFonts w:hint="cs"/>
          <w:rtl/>
        </w:rPr>
        <w:t xml:space="preserve"> לה, ולא לנו." (ראו: שם, פסקה 9).</w:t>
      </w:r>
    </w:p>
    <w:p w:rsidR="006B2DA7" w:rsidRDefault="006B2DA7" w:rsidP="006B2DA7">
      <w:pPr>
        <w:pStyle w:val="Ruller4"/>
        <w:numPr>
          <w:ilvl w:val="0"/>
          <w:numId w:val="0"/>
        </w:numPr>
        <w:rPr>
          <w:rtl/>
        </w:rPr>
      </w:pPr>
    </w:p>
    <w:p w:rsidR="006B2DA7" w:rsidRDefault="006B2DA7" w:rsidP="006B2DA7">
      <w:pPr>
        <w:pStyle w:val="Ruller4"/>
      </w:pPr>
      <w:r>
        <w:rPr>
          <w:rFonts w:hint="cs"/>
          <w:rtl/>
        </w:rPr>
        <w:t xml:space="preserve">אשר על כן, בהיעדר עילה מבוררת להתערבות שיפוטית, דין העתירות להידחות. לזאת אוסיף כי העותרים בשתי העתירות לא דאגו לצרף כמשיבים את משפחות החטופים או את נציגיהם </w:t>
      </w:r>
      <w:r>
        <w:rPr>
          <w:rtl/>
        </w:rPr>
        <w:t>–</w:t>
      </w:r>
      <w:r>
        <w:rPr>
          <w:rFonts w:hint="cs"/>
          <w:rtl/>
        </w:rPr>
        <w:t xml:space="preserve"> פגם שמצדיק, ברגיל, את מחיקת העתירה.</w:t>
      </w:r>
    </w:p>
    <w:p w:rsidR="006B2DA7" w:rsidRDefault="006B2DA7" w:rsidP="006B2DA7">
      <w:pPr>
        <w:pStyle w:val="Ruller4"/>
        <w:numPr>
          <w:ilvl w:val="0"/>
          <w:numId w:val="0"/>
        </w:numPr>
      </w:pPr>
    </w:p>
    <w:p w:rsidR="006B2DA7" w:rsidRPr="00440F0C" w:rsidRDefault="006B2DA7" w:rsidP="006B2DA7">
      <w:pPr>
        <w:pStyle w:val="Ruller4"/>
      </w:pPr>
      <w:r>
        <w:rPr>
          <w:rFonts w:hint="cs"/>
          <w:rtl/>
        </w:rPr>
        <w:t>שתי העתירות נדחות אפוא בזאת. אין צו להוצאות.</w:t>
      </w:r>
    </w:p>
    <w:p w:rsidR="006B2DA7" w:rsidRDefault="006B2DA7" w:rsidP="00A51FAE">
      <w:pPr>
        <w:pStyle w:val="Ruller40"/>
        <w:rPr>
          <w:rtl/>
        </w:rPr>
      </w:pPr>
    </w:p>
    <w:p w:rsidR="006B2DA7" w:rsidRDefault="006B2DA7" w:rsidP="00A51FAE">
      <w:pPr>
        <w:pStyle w:val="Ruller40"/>
        <w:rPr>
          <w:rtl/>
        </w:rPr>
      </w:pPr>
      <w:r>
        <w:rPr>
          <w:rtl/>
        </w:rPr>
        <w:tab/>
        <w:t xml:space="preserve">ניתן היום, </w:t>
      </w:r>
      <w:r>
        <w:rPr>
          <w:rFonts w:hint="eastAsia"/>
          <w:rtl/>
        </w:rPr>
        <w:t>‏י</w:t>
      </w:r>
      <w:r>
        <w:rPr>
          <w:rtl/>
        </w:rPr>
        <w:t xml:space="preserve">' בכסלו </w:t>
      </w:r>
      <w:proofErr w:type="spellStart"/>
      <w:r>
        <w:rPr>
          <w:rtl/>
        </w:rPr>
        <w:t>התשפ"ד</w:t>
      </w:r>
      <w:proofErr w:type="spellEnd"/>
      <w:r>
        <w:rPr>
          <w:rtl/>
        </w:rPr>
        <w:t xml:space="preserve"> (</w:t>
      </w:r>
      <w:r>
        <w:rPr>
          <w:rFonts w:hint="eastAsia"/>
          <w:rtl/>
        </w:rPr>
        <w:t>‏</w:t>
      </w:r>
      <w:r>
        <w:rPr>
          <w:rtl/>
        </w:rPr>
        <w:t>23.11.2023).</w:t>
      </w:r>
    </w:p>
    <w:p w:rsidR="006B2DA7" w:rsidRPr="00333337" w:rsidRDefault="006B2DA7" w:rsidP="00A51FAE">
      <w:pPr>
        <w:pStyle w:val="Ruller40"/>
        <w:rPr>
          <w:sz w:val="40"/>
          <w:szCs w:val="46"/>
          <w:rtl/>
        </w:rPr>
      </w:pPr>
    </w:p>
    <w:tbl>
      <w:tblPr>
        <w:bidiVisual/>
        <w:tblW w:w="8363" w:type="dxa"/>
        <w:tblLook w:val="01E0" w:firstRow="1" w:lastRow="1" w:firstColumn="1" w:lastColumn="1" w:noHBand="0" w:noVBand="0"/>
      </w:tblPr>
      <w:tblGrid>
        <w:gridCol w:w="2787"/>
        <w:gridCol w:w="2788"/>
        <w:gridCol w:w="2788"/>
      </w:tblGrid>
      <w:tr w:rsidR="001A0164" w:rsidTr="00333337">
        <w:tc>
          <w:tcPr>
            <w:tcW w:w="2787" w:type="dxa"/>
            <w:shd w:val="clear" w:color="auto" w:fill="auto"/>
          </w:tcPr>
          <w:p w:rsidR="00016EF1" w:rsidRDefault="0000601B" w:rsidP="00A51FAE">
            <w:pPr>
              <w:pStyle w:val="Ruller40"/>
              <w:rPr>
                <w:rtl/>
              </w:rPr>
            </w:pPr>
            <w:r>
              <w:rPr>
                <w:rtl/>
              </w:rPr>
              <w:t>ש ו פ ט</w:t>
            </w:r>
          </w:p>
        </w:tc>
        <w:tc>
          <w:tcPr>
            <w:tcW w:w="2788" w:type="dxa"/>
            <w:shd w:val="clear" w:color="auto" w:fill="auto"/>
          </w:tcPr>
          <w:p w:rsidR="001A0164" w:rsidRDefault="0000601B" w:rsidP="00BA0B08">
            <w:pPr>
              <w:pStyle w:val="Ruller40"/>
              <w:jc w:val="center"/>
              <w:rPr>
                <w:rtl/>
              </w:rPr>
            </w:pPr>
            <w:r>
              <w:rPr>
                <w:rtl/>
              </w:rPr>
              <w:t>ש ו פ ט</w:t>
            </w:r>
          </w:p>
        </w:tc>
        <w:tc>
          <w:tcPr>
            <w:tcW w:w="2788" w:type="dxa"/>
            <w:shd w:val="clear" w:color="auto" w:fill="auto"/>
          </w:tcPr>
          <w:p w:rsidR="001A0164" w:rsidRDefault="0000601B" w:rsidP="006B2DA7">
            <w:pPr>
              <w:pStyle w:val="Ruller40"/>
              <w:jc w:val="right"/>
              <w:rPr>
                <w:rtl/>
              </w:rPr>
            </w:pPr>
            <w:r>
              <w:rPr>
                <w:rtl/>
              </w:rPr>
              <w:t>ש ו פ ט</w:t>
            </w:r>
          </w:p>
        </w:tc>
      </w:tr>
    </w:tbl>
    <w:p w:rsidR="00916FF8" w:rsidRDefault="00916FF8">
      <w:pPr>
        <w:rPr>
          <w:szCs w:val="16"/>
          <w:rtl/>
        </w:rPr>
      </w:pPr>
      <w:r>
        <w:rPr>
          <w:szCs w:val="16"/>
          <w:rtl/>
        </w:rPr>
        <w:t>_________________</w:t>
      </w:r>
      <w:r w:rsidR="00A12E0F">
        <w:rPr>
          <w:rFonts w:hint="cs"/>
          <w:szCs w:val="16"/>
          <w:rtl/>
        </w:rPr>
        <w:t>________</w:t>
      </w:r>
    </w:p>
    <w:p w:rsidR="00916FF8" w:rsidRDefault="00591983" w:rsidP="00B009CC">
      <w:pPr>
        <w:pStyle w:val="Ruller38"/>
        <w:rPr>
          <w:rtl/>
        </w:rPr>
      </w:pPr>
      <w:r>
        <w:rPr>
          <w:sz w:val="16"/>
        </w:rPr>
        <w:t xml:space="preserve"> </w:t>
      </w:r>
      <w:r w:rsidR="00A12E0F">
        <w:rPr>
          <w:sz w:val="16"/>
        </w:rPr>
        <w:t xml:space="preserve">  </w:t>
      </w:r>
      <w:r w:rsidR="0000601B">
        <w:rPr>
          <w:sz w:val="16"/>
        </w:rPr>
        <w:t xml:space="preserve">23083510_F02.docx   </w:t>
      </w:r>
      <w:r w:rsidR="0000601B">
        <w:rPr>
          <w:sz w:val="16"/>
          <w:rtl/>
        </w:rPr>
        <w:t>עב</w:t>
      </w:r>
    </w:p>
    <w:p w:rsidR="003F1F97" w:rsidRDefault="00591983" w:rsidP="00333337">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8" w:history="1">
        <w:r w:rsidR="00FC0252" w:rsidRPr="00BB4C68">
          <w:rPr>
            <w:rStyle w:val="Hyperlink"/>
            <w:sz w:val="16"/>
          </w:rPr>
          <w:t>https://supreme.court.gov.il</w:t>
        </w:r>
      </w:hyperlink>
    </w:p>
    <w:sectPr w:rsidR="003F1F97" w:rsidSect="00591983">
      <w:headerReference w:type="even" r:id="rId9"/>
      <w:headerReference w:type="default" r:id="rId10"/>
      <w:footerReference w:type="even" r:id="rId11"/>
      <w:footerReference w:type="default" r:id="rId12"/>
      <w:headerReference w:type="first" r:id="rId13"/>
      <w:footerReference w:type="first" r:id="rId14"/>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7D2" w:rsidRDefault="007047D2">
      <w:r>
        <w:separator/>
      </w:r>
    </w:p>
  </w:endnote>
  <w:endnote w:type="continuationSeparator" w:id="0">
    <w:p w:rsidR="007047D2" w:rsidRDefault="0070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01B" w:rsidRDefault="0000601B">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6" w:name="footer_line"/>
    <w:bookmarkEnd w:id="6"/>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7D2" w:rsidRDefault="007047D2">
      <w:r>
        <w:separator/>
      </w:r>
    </w:p>
  </w:footnote>
  <w:footnote w:type="continuationSeparator" w:id="0">
    <w:p w:rsidR="007047D2" w:rsidRDefault="00704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AA2C46">
      <w:rPr>
        <w:rStyle w:val="a4"/>
        <w:noProof/>
        <w:rtl/>
      </w:rPr>
      <w:t>4</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0601B"/>
    <w:rsid w:val="00016EF1"/>
    <w:rsid w:val="00032036"/>
    <w:rsid w:val="00036227"/>
    <w:rsid w:val="00044953"/>
    <w:rsid w:val="00045B4D"/>
    <w:rsid w:val="000725F5"/>
    <w:rsid w:val="00072AD2"/>
    <w:rsid w:val="000B1478"/>
    <w:rsid w:val="000B63A3"/>
    <w:rsid w:val="000C4690"/>
    <w:rsid w:val="000D25C4"/>
    <w:rsid w:val="00134A67"/>
    <w:rsid w:val="001A0164"/>
    <w:rsid w:val="00200D6B"/>
    <w:rsid w:val="00265F6E"/>
    <w:rsid w:val="00275423"/>
    <w:rsid w:val="002876BF"/>
    <w:rsid w:val="002A4A7A"/>
    <w:rsid w:val="002A4BF3"/>
    <w:rsid w:val="002F7BB6"/>
    <w:rsid w:val="00333337"/>
    <w:rsid w:val="003448B2"/>
    <w:rsid w:val="00361DB2"/>
    <w:rsid w:val="0037622E"/>
    <w:rsid w:val="00377102"/>
    <w:rsid w:val="0039709B"/>
    <w:rsid w:val="003D72DA"/>
    <w:rsid w:val="003F1F97"/>
    <w:rsid w:val="0041048F"/>
    <w:rsid w:val="00437D59"/>
    <w:rsid w:val="004610A4"/>
    <w:rsid w:val="004B29FF"/>
    <w:rsid w:val="004C7868"/>
    <w:rsid w:val="00503A3E"/>
    <w:rsid w:val="005162AA"/>
    <w:rsid w:val="00527F02"/>
    <w:rsid w:val="005803E2"/>
    <w:rsid w:val="0058440A"/>
    <w:rsid w:val="00591983"/>
    <w:rsid w:val="00624A42"/>
    <w:rsid w:val="0065522F"/>
    <w:rsid w:val="006A30F7"/>
    <w:rsid w:val="006B2DA7"/>
    <w:rsid w:val="006C42AD"/>
    <w:rsid w:val="007047D2"/>
    <w:rsid w:val="00725345"/>
    <w:rsid w:val="00741CC0"/>
    <w:rsid w:val="007B512F"/>
    <w:rsid w:val="007F7512"/>
    <w:rsid w:val="00810894"/>
    <w:rsid w:val="008143AB"/>
    <w:rsid w:val="0083345F"/>
    <w:rsid w:val="00836667"/>
    <w:rsid w:val="00866D0F"/>
    <w:rsid w:val="008C2F11"/>
    <w:rsid w:val="008D78B9"/>
    <w:rsid w:val="008E3F85"/>
    <w:rsid w:val="009051E8"/>
    <w:rsid w:val="00914156"/>
    <w:rsid w:val="00916FF8"/>
    <w:rsid w:val="00922093"/>
    <w:rsid w:val="00930C85"/>
    <w:rsid w:val="009B38DA"/>
    <w:rsid w:val="009F2F53"/>
    <w:rsid w:val="009F4187"/>
    <w:rsid w:val="00A12E0F"/>
    <w:rsid w:val="00A51FAE"/>
    <w:rsid w:val="00A80845"/>
    <w:rsid w:val="00AA2C46"/>
    <w:rsid w:val="00AB69F7"/>
    <w:rsid w:val="00AD097B"/>
    <w:rsid w:val="00AD64B9"/>
    <w:rsid w:val="00AE022B"/>
    <w:rsid w:val="00B009CC"/>
    <w:rsid w:val="00B0782A"/>
    <w:rsid w:val="00B62B8C"/>
    <w:rsid w:val="00B63343"/>
    <w:rsid w:val="00B87FF7"/>
    <w:rsid w:val="00BA0B08"/>
    <w:rsid w:val="00BC0E82"/>
    <w:rsid w:val="00BD40F9"/>
    <w:rsid w:val="00C41C86"/>
    <w:rsid w:val="00C63A6C"/>
    <w:rsid w:val="00CA13AF"/>
    <w:rsid w:val="00CA1444"/>
    <w:rsid w:val="00CB1590"/>
    <w:rsid w:val="00CB7600"/>
    <w:rsid w:val="00CC0E9D"/>
    <w:rsid w:val="00CC3639"/>
    <w:rsid w:val="00CE22FB"/>
    <w:rsid w:val="00D00B1D"/>
    <w:rsid w:val="00D00CB7"/>
    <w:rsid w:val="00D25F16"/>
    <w:rsid w:val="00E21CA9"/>
    <w:rsid w:val="00E31063"/>
    <w:rsid w:val="00E36FE9"/>
    <w:rsid w:val="00E73E98"/>
    <w:rsid w:val="00E75223"/>
    <w:rsid w:val="00E90D72"/>
    <w:rsid w:val="00EA0BE1"/>
    <w:rsid w:val="00EC23AC"/>
    <w:rsid w:val="00EC2992"/>
    <w:rsid w:val="00ED46A4"/>
    <w:rsid w:val="00ED6FD9"/>
    <w:rsid w:val="00EE3810"/>
    <w:rsid w:val="00F63C3B"/>
    <w:rsid w:val="00F959DB"/>
    <w:rsid w:val="00FC025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EC4C1C6-4373-4FC7-BA63-8462070A4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0">
    <w:name w:val="Ruller4"/>
    <w:basedOn w:val="a"/>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0"/>
    <w:next w:val="Ruller40"/>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4">
    <w:name w:val="Ruller 4 ממוספר"/>
    <w:basedOn w:val="Ruller40"/>
    <w:next w:val="Ruller40"/>
    <w:rsid w:val="006B2DA7"/>
    <w:pPr>
      <w:numPr>
        <w:numId w:val="11"/>
      </w:numPr>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upreme.court.gov.i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1057</Words>
  <Characters>5288</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פסק-דין בתיק בג"ץ  8351/23</vt:lpstr>
    </vt:vector>
  </TitlesOfParts>
  <Company>supreme court of israel</Company>
  <LinksUpToDate>false</LinksUpToDate>
  <CharactersWithSpaces>6333</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בג"ץ  8351/23</dc:title>
  <dc:subject/>
  <dc:creator>Administrator</dc:creator>
  <cp:keywords/>
  <dc:description/>
  <cp:lastModifiedBy>אסתר טטרואשילי</cp:lastModifiedBy>
  <cp:revision>2</cp:revision>
  <cp:lastPrinted>2023-11-23T06:34:00Z</cp:lastPrinted>
  <dcterms:created xsi:type="dcterms:W3CDTF">2023-11-23T08:01:00Z</dcterms:created>
  <dcterms:modified xsi:type="dcterms:W3CDTF">2023-11-23T08:01:00Z</dcterms:modified>
</cp:coreProperties>
</file>